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51"/>
        <w:tblW w:w="0" w:type="auto"/>
        <w:tblInd w:w="108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807"/>
        <w:gridCol w:w="4440"/>
      </w:tblGrid>
      <w:tr>
        <w:tblPrEx/>
        <w:trPr/>
        <w:tc>
          <w:tcPr>
            <w:tcW w:w="5245" w:type="dxa"/>
            <w:textDirection w:val="lrTb"/>
            <w:noWrap w:val="false"/>
          </w:tcPr>
          <w:p>
            <w:pPr>
              <w:spacing w:after="200" w:line="276" w:lineRule="auto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W w:w="4500" w:type="dxa"/>
            <w:textDirection w:val="lrTb"/>
            <w:noWrap w:val="false"/>
          </w:tcPr>
          <w:p>
            <w:pPr>
              <w:ind w:firstLine="397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УТВЕРЖДАЮ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397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Заместитель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генерального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директора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397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по техническим вопросам 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397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главный инженер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397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АО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Россети Сибирь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Тываэнерго»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397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.И Таранков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397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"_____"________________20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ar-SA"/>
              </w:rPr>
              <w:t xml:space="preserve">г.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right"/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jc w:val="both"/>
        <w:tabs>
          <w:tab w:val="left" w:pos="426" w:leader="none"/>
          <w:tab w:val="left" w:pos="709" w:leader="none"/>
          <w:tab w:val="left" w:pos="1418" w:leader="none"/>
          <w:tab w:val="left" w:pos="4820" w:leader="none"/>
          <w:tab w:val="left" w:pos="5954" w:leader="none"/>
        </w:tabs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</w:r>
      <w:r>
        <w:rPr>
          <w:color w:val="0000ff"/>
          <w:sz w:val="28"/>
          <w:szCs w:val="28"/>
        </w:rPr>
      </w:r>
      <w:r>
        <w:rPr>
          <w:color w:val="0000ff"/>
          <w:sz w:val="28"/>
          <w:szCs w:val="28"/>
        </w:rPr>
      </w:r>
    </w:p>
    <w:p>
      <w:pPr>
        <w:ind w:right="-25"/>
        <w:jc w:val="center"/>
        <w:spacing w:line="276" w:lineRule="auto"/>
        <w:shd w:val="clear" w:color="auto" w:fill="ffffff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 xml:space="preserve">ТЕХНИЧЕСКОЕ ЗАДАНИЕ</w:t>
      </w:r>
      <w:r>
        <w:rPr>
          <w:b/>
          <w:bCs/>
          <w:color w:val="000000"/>
          <w:spacing w:val="-4"/>
          <w:sz w:val="28"/>
          <w:szCs w:val="28"/>
        </w:rPr>
      </w:r>
      <w:r>
        <w:rPr>
          <w:b/>
          <w:bCs/>
          <w:color w:val="000000"/>
          <w:spacing w:val="-4"/>
          <w:sz w:val="28"/>
          <w:szCs w:val="28"/>
        </w:rPr>
      </w:r>
    </w:p>
    <w:p>
      <w:pPr>
        <w:pStyle w:val="838"/>
        <w:ind w:firstLine="0"/>
        <w:keepNext w:val="0"/>
        <w:rPr>
          <w:bCs/>
          <w:sz w:val="28"/>
          <w:szCs w:val="28"/>
        </w:rPr>
      </w:pPr>
      <w:r>
        <w:rPr>
          <w:bCs/>
          <w:color w:val="000000"/>
          <w:spacing w:val="-4"/>
          <w:sz w:val="28"/>
          <w:szCs w:val="28"/>
        </w:rPr>
        <w:t xml:space="preserve">на оказание услуг</w:t>
      </w:r>
      <w:r>
        <w:rPr>
          <w:bCs/>
          <w:color w:val="000000"/>
          <w:spacing w:val="-4"/>
          <w:sz w:val="28"/>
          <w:szCs w:val="28"/>
        </w:rPr>
        <w:t xml:space="preserve">и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поддержанию в постоянной готовности сил и средств для выполнения АСР на ОПО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both"/>
        <w:tabs>
          <w:tab w:val="left" w:pos="0" w:leader="none"/>
          <w:tab w:val="left" w:pos="284" w:leader="none"/>
        </w:tabs>
        <w:rPr>
          <w:bCs/>
          <w:sz w:val="14"/>
          <w:szCs w:val="14"/>
        </w:rPr>
      </w:pPr>
      <w:r>
        <w:rPr>
          <w:bCs/>
          <w:sz w:val="14"/>
          <w:szCs w:val="14"/>
        </w:rPr>
      </w:r>
      <w:r>
        <w:rPr>
          <w:bCs/>
          <w:sz w:val="14"/>
          <w:szCs w:val="14"/>
        </w:rPr>
      </w:r>
      <w:r>
        <w:rPr>
          <w:bCs/>
          <w:sz w:val="14"/>
          <w:szCs w:val="14"/>
        </w:rPr>
      </w:r>
    </w:p>
    <w:p>
      <w:pPr>
        <w:numPr>
          <w:ilvl w:val="0"/>
          <w:numId w:val="2"/>
        </w:numPr>
        <w:ind w:left="0" w:firstLine="0"/>
        <w:jc w:val="center"/>
        <w:tabs>
          <w:tab w:val="left" w:pos="284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Описание</w:t>
      </w:r>
      <w:r>
        <w:rPr>
          <w:bCs/>
          <w:sz w:val="28"/>
          <w:szCs w:val="28"/>
        </w:rPr>
        <w:t xml:space="preserve"> услуги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tabs>
          <w:tab w:val="left" w:pos="284" w:leader="none"/>
        </w:tabs>
        <w:rPr>
          <w:bCs/>
          <w:sz w:val="6"/>
          <w:szCs w:val="6"/>
        </w:rPr>
      </w:pPr>
      <w:r>
        <w:rPr>
          <w:bCs/>
          <w:sz w:val="6"/>
          <w:szCs w:val="6"/>
        </w:rPr>
      </w:r>
      <w:r>
        <w:rPr>
          <w:bCs/>
          <w:sz w:val="6"/>
          <w:szCs w:val="6"/>
        </w:rPr>
      </w:r>
      <w:r>
        <w:rPr>
          <w:bCs/>
          <w:sz w:val="6"/>
          <w:szCs w:val="6"/>
        </w:rPr>
      </w:r>
    </w:p>
    <w:p>
      <w:pPr>
        <w:pStyle w:val="848"/>
        <w:numPr>
          <w:ilvl w:val="1"/>
          <w:numId w:val="2"/>
        </w:numPr>
        <w:ind w:left="0" w:firstLine="709"/>
        <w:jc w:val="both"/>
        <w:tabs>
          <w:tab w:val="left" w:pos="284" w:leader="none"/>
          <w:tab w:val="left" w:pos="1276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Обслуживание опасных производственных объектов (далее – ОПО) АО «</w:t>
      </w:r>
      <w:r>
        <w:rPr>
          <w:bCs/>
          <w:sz w:val="28"/>
          <w:szCs w:val="28"/>
        </w:rPr>
        <w:t xml:space="preserve">Россети Сибирь Тываэнерго</w:t>
      </w:r>
      <w:r>
        <w:rPr>
          <w:bCs/>
          <w:sz w:val="28"/>
          <w:szCs w:val="28"/>
        </w:rPr>
        <w:t xml:space="preserve">»</w:t>
      </w:r>
      <w:r>
        <w:rPr>
          <w:bCs/>
          <w:sz w:val="28"/>
          <w:szCs w:val="28"/>
        </w:rPr>
        <w:t xml:space="preserve">,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указанных в приложении к настоящему техническому заданию (далее – Приложение), </w:t>
      </w:r>
      <w:r>
        <w:rPr>
          <w:bCs/>
          <w:sz w:val="28"/>
          <w:szCs w:val="28"/>
        </w:rPr>
        <w:t xml:space="preserve">профессиональным аварийно-спасательным формированием (службой)</w:t>
      </w:r>
      <w:r>
        <w:rPr>
          <w:bCs/>
          <w:sz w:val="28"/>
          <w:szCs w:val="28"/>
        </w:rPr>
        <w:t xml:space="preserve"> (далее – АСФ)</w:t>
      </w:r>
      <w:r>
        <w:rPr>
          <w:bCs/>
          <w:sz w:val="28"/>
          <w:szCs w:val="28"/>
        </w:rPr>
        <w:t xml:space="preserve">, в соответствии с требованиями статьи 10 Федерального закона от 21.07.1997 №116-ФЗ «О промышленной безопасности опасных производственных объектов».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48"/>
        <w:numPr>
          <w:ilvl w:val="1"/>
          <w:numId w:val="2"/>
        </w:numPr>
        <w:ind w:left="0" w:firstLine="709"/>
        <w:jc w:val="both"/>
        <w:tabs>
          <w:tab w:val="left" w:pos="284" w:leader="none"/>
          <w:tab w:val="left" w:pos="1276" w:leader="none"/>
        </w:tabs>
        <w:rPr>
          <w:bCs/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Ср</w:t>
      </w:r>
      <w:r>
        <w:rPr>
          <w:bCs/>
          <w:sz w:val="28"/>
          <w:szCs w:val="28"/>
          <w:highlight w:val="white"/>
        </w:rPr>
        <w:t xml:space="preserve">оки оказания услуг: с даты заключения договора на 12 месяцев. </w:t>
      </w:r>
      <w:r>
        <w:rPr>
          <w:bCs/>
          <w:sz w:val="28"/>
          <w:szCs w:val="28"/>
          <w:highlight w:val="white"/>
        </w:rPr>
      </w:r>
      <w:r>
        <w:rPr>
          <w:bCs/>
          <w:sz w:val="28"/>
          <w:szCs w:val="28"/>
          <w:highlight w:val="white"/>
        </w:rPr>
      </w:r>
    </w:p>
    <w:p>
      <w:pPr>
        <w:jc w:val="both"/>
        <w:rPr>
          <w:b/>
          <w:bCs/>
          <w:sz w:val="14"/>
          <w:szCs w:val="14"/>
        </w:rPr>
      </w:pPr>
      <w:r>
        <w:rPr>
          <w:b/>
          <w:bCs/>
          <w:sz w:val="14"/>
          <w:szCs w:val="14"/>
        </w:rPr>
      </w:r>
      <w:r>
        <w:rPr>
          <w:b/>
          <w:bCs/>
          <w:sz w:val="14"/>
          <w:szCs w:val="14"/>
        </w:rPr>
      </w:r>
      <w:r>
        <w:rPr>
          <w:b/>
          <w:bCs/>
          <w:sz w:val="14"/>
          <w:szCs w:val="14"/>
        </w:rPr>
      </w:r>
    </w:p>
    <w:p>
      <w:pPr>
        <w:numPr>
          <w:ilvl w:val="0"/>
          <w:numId w:val="2"/>
        </w:numPr>
        <w:ind w:left="0" w:firstLine="0"/>
        <w:jc w:val="center"/>
        <w:tabs>
          <w:tab w:val="left" w:pos="284" w:leader="non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Требования по оказанию услуги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tabs>
          <w:tab w:val="left" w:pos="284" w:leader="none"/>
        </w:tabs>
        <w:rPr>
          <w:bCs/>
          <w:sz w:val="6"/>
          <w:szCs w:val="6"/>
        </w:rPr>
      </w:pPr>
      <w:r>
        <w:rPr>
          <w:bCs/>
          <w:sz w:val="6"/>
          <w:szCs w:val="6"/>
        </w:rPr>
      </w:r>
      <w:r>
        <w:rPr>
          <w:bCs/>
          <w:sz w:val="6"/>
          <w:szCs w:val="6"/>
        </w:rPr>
      </w:r>
      <w:r>
        <w:rPr>
          <w:bCs/>
          <w:sz w:val="6"/>
          <w:szCs w:val="6"/>
        </w:rPr>
      </w:r>
    </w:p>
    <w:p>
      <w:pPr>
        <w:pStyle w:val="848"/>
        <w:numPr>
          <w:ilvl w:val="1"/>
          <w:numId w:val="5"/>
        </w:numPr>
        <w:ind w:left="0"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рамках обслуживания ОПО профессиональное АСФ </w:t>
      </w:r>
      <w:r>
        <w:rPr>
          <w:sz w:val="28"/>
          <w:szCs w:val="28"/>
        </w:rPr>
        <w:t xml:space="preserve">должно обеспечить постоянную готовность к реагированию на любые чрезвычайные ситуации на ОПО, локализацию и ликвидацию последствий аварий на ОПО.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numPr>
          <w:ilvl w:val="1"/>
          <w:numId w:val="5"/>
        </w:numPr>
        <w:ind w:left="0"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  <w:t xml:space="preserve">Принимать участие в командно-штабных учениях на объектах Заказчика не чаще 1 раза в год.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numPr>
          <w:ilvl w:val="1"/>
          <w:numId w:val="5"/>
        </w:numPr>
        <w:ind w:left="0"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АСФ должно иметь в своём штате аттестованных профессиональных спасателей соответствующей квалификации.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numPr>
          <w:ilvl w:val="1"/>
          <w:numId w:val="5"/>
        </w:numPr>
        <w:ind w:left="0"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АСФ должно иметь все н</w:t>
      </w:r>
      <w:r>
        <w:rPr>
          <w:sz w:val="28"/>
          <w:szCs w:val="28"/>
        </w:rPr>
        <w:t xml:space="preserve">еобходимые лицензии, оформленные в соответствии с действующими законодательными актами.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numPr>
          <w:ilvl w:val="1"/>
          <w:numId w:val="5"/>
        </w:numPr>
        <w:ind w:left="0"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АСФ должно</w:t>
      </w:r>
      <w:r>
        <w:rPr>
          <w:sz w:val="28"/>
          <w:szCs w:val="28"/>
        </w:rPr>
        <w:t xml:space="preserve"> обладать необходимой специальной техникой </w:t>
      </w:r>
      <w:r>
        <w:rPr>
          <w:sz w:val="28"/>
          <w:szCs w:val="28"/>
        </w:rPr>
        <w:t xml:space="preserve">и материально-технической базой для обслуживания ОПО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numPr>
          <w:ilvl w:val="1"/>
          <w:numId w:val="5"/>
        </w:numPr>
        <w:ind w:left="0"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Обслуживание ОПО профессиональным АСФ должно</w:t>
      </w:r>
      <w:r>
        <w:rPr>
          <w:spacing w:val="2"/>
          <w:sz w:val="28"/>
          <w:szCs w:val="28"/>
        </w:rPr>
        <w:t xml:space="preserve"> соответствовать требованиям </w:t>
      </w:r>
      <w:r>
        <w:rPr>
          <w:spacing w:val="2"/>
          <w:sz w:val="28"/>
          <w:szCs w:val="28"/>
        </w:rPr>
        <w:t xml:space="preserve">Федерального закона от 21.07.1997 №116-ФЗ «О промышленной безопасности опасных производственных объектов»</w:t>
      </w:r>
      <w:r>
        <w:rPr>
          <w:spacing w:val="2"/>
          <w:sz w:val="28"/>
          <w:szCs w:val="28"/>
        </w:rPr>
        <w:t xml:space="preserve"> и </w:t>
      </w:r>
      <w:r>
        <w:rPr>
          <w:spacing w:val="2"/>
          <w:sz w:val="28"/>
          <w:szCs w:val="28"/>
        </w:rPr>
        <w:t xml:space="preserve">иных</w:t>
      </w:r>
      <w:r>
        <w:rPr>
          <w:spacing w:val="2"/>
          <w:sz w:val="28"/>
          <w:szCs w:val="28"/>
        </w:rPr>
        <w:t xml:space="preserve"> действующих Федеральных законов РФ, </w:t>
      </w:r>
      <w:r>
        <w:rPr>
          <w:spacing w:val="2"/>
          <w:sz w:val="28"/>
          <w:szCs w:val="28"/>
        </w:rPr>
        <w:t xml:space="preserve">государственных стандартов, </w:t>
      </w:r>
      <w:r>
        <w:rPr>
          <w:spacing w:val="3"/>
          <w:sz w:val="28"/>
          <w:szCs w:val="28"/>
        </w:rPr>
        <w:t xml:space="preserve">нормативных документов </w:t>
      </w:r>
      <w:r>
        <w:rPr>
          <w:spacing w:val="3"/>
          <w:sz w:val="28"/>
          <w:szCs w:val="28"/>
        </w:rPr>
        <w:t xml:space="preserve">МЧС и </w:t>
      </w:r>
      <w:r>
        <w:rPr>
          <w:spacing w:val="3"/>
          <w:sz w:val="28"/>
          <w:szCs w:val="28"/>
        </w:rPr>
        <w:t xml:space="preserve">Ростехнадзора, </w:t>
      </w:r>
      <w:r>
        <w:rPr>
          <w:spacing w:val="3"/>
          <w:sz w:val="28"/>
          <w:szCs w:val="28"/>
        </w:rPr>
        <w:t xml:space="preserve">стандартов, </w:t>
      </w:r>
      <w:r>
        <w:rPr>
          <w:spacing w:val="3"/>
          <w:sz w:val="28"/>
          <w:szCs w:val="28"/>
        </w:rPr>
        <w:t xml:space="preserve">руководящих </w:t>
      </w:r>
      <w:r>
        <w:rPr>
          <w:spacing w:val="2"/>
          <w:sz w:val="28"/>
          <w:szCs w:val="28"/>
        </w:rPr>
        <w:t xml:space="preserve">до</w:t>
      </w:r>
      <w:r>
        <w:rPr>
          <w:spacing w:val="2"/>
          <w:sz w:val="28"/>
          <w:szCs w:val="28"/>
        </w:rPr>
        <w:t xml:space="preserve">кументов,</w:t>
      </w:r>
      <w:r>
        <w:rPr>
          <w:spacing w:val="2"/>
          <w:sz w:val="28"/>
          <w:szCs w:val="28"/>
        </w:rPr>
        <w:t xml:space="preserve"> правил, но</w:t>
      </w:r>
      <w:r>
        <w:rPr>
          <w:spacing w:val="2"/>
          <w:sz w:val="28"/>
          <w:szCs w:val="28"/>
        </w:rPr>
        <w:t xml:space="preserve">рм и инструкций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numPr>
          <w:ilvl w:val="1"/>
          <w:numId w:val="5"/>
        </w:numPr>
        <w:ind w:left="0"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АСФ</w:t>
      </w:r>
      <w:r>
        <w:rPr>
          <w:sz w:val="28"/>
          <w:szCs w:val="28"/>
        </w:rPr>
        <w:t xml:space="preserve"> несет ответственность за нару</w:t>
      </w:r>
      <w:r>
        <w:rPr>
          <w:sz w:val="28"/>
          <w:szCs w:val="28"/>
        </w:rPr>
        <w:t xml:space="preserve">шения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</w:t>
      </w:r>
      <w:r>
        <w:rPr>
          <w:sz w:val="28"/>
          <w:szCs w:val="28"/>
        </w:rPr>
        <w:t xml:space="preserve">авил и норм по охране труда</w:t>
      </w:r>
      <w:r>
        <w:rPr>
          <w:sz w:val="28"/>
          <w:szCs w:val="28"/>
        </w:rPr>
        <w:t xml:space="preserve">, правил технической эксплуатации, правил пожарной безопасности</w:t>
      </w:r>
      <w:r>
        <w:rPr>
          <w:sz w:val="28"/>
          <w:szCs w:val="28"/>
        </w:rPr>
        <w:t xml:space="preserve">, совершенные </w:t>
      </w:r>
      <w:r>
        <w:rPr>
          <w:sz w:val="28"/>
          <w:szCs w:val="28"/>
        </w:rPr>
        <w:t xml:space="preserve">его работниками </w:t>
      </w:r>
      <w:r>
        <w:rPr>
          <w:sz w:val="28"/>
          <w:szCs w:val="28"/>
        </w:rPr>
        <w:t xml:space="preserve">при оказании услуг</w:t>
      </w:r>
      <w:r>
        <w:rPr>
          <w:sz w:val="28"/>
          <w:szCs w:val="28"/>
        </w:rPr>
        <w:t xml:space="preserve">и по обслуживанию ОПО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numPr>
          <w:ilvl w:val="1"/>
          <w:numId w:val="5"/>
        </w:numPr>
        <w:ind w:left="0" w:firstLine="709"/>
        <w:jc w:val="both"/>
        <w:tabs>
          <w:tab w:val="num" w:pos="127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Услуги связи, с</w:t>
      </w:r>
      <w:r>
        <w:rPr>
          <w:sz w:val="28"/>
          <w:szCs w:val="28"/>
        </w:rPr>
        <w:t xml:space="preserve">оциально-бытовые и</w:t>
      </w:r>
      <w:r>
        <w:rPr>
          <w:sz w:val="28"/>
          <w:szCs w:val="28"/>
        </w:rPr>
        <w:t xml:space="preserve"> транспортные</w:t>
      </w:r>
      <w:r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аказчиком не предоставляются.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8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5"/>
        <w:ind w:firstLine="709"/>
        <w:jc w:val="right"/>
        <w:rPr>
          <w:rFonts w:ascii="Times New Roman" w:hAnsi="Times New Roman"/>
          <w:szCs w:val="24"/>
          <w:lang w:val="ru-RU"/>
        </w:rPr>
      </w:pPr>
      <w:r/>
      <w:bookmarkStart w:id="0" w:name="_GoBack"/>
      <w:r/>
      <w:bookmarkEnd w:id="0"/>
      <w:r>
        <w:rPr>
          <w:rFonts w:ascii="Times New Roman" w:hAnsi="Times New Roman"/>
          <w:szCs w:val="24"/>
          <w:lang w:val="ru-RU"/>
        </w:rPr>
      </w:r>
      <w:r>
        <w:rPr>
          <w:rFonts w:ascii="Times New Roman" w:hAnsi="Times New Roman"/>
          <w:szCs w:val="24"/>
          <w:lang w:val="ru-RU"/>
        </w:rPr>
      </w:r>
    </w:p>
    <w:p>
      <w:pPr>
        <w:pStyle w:val="845"/>
        <w:ind w:firstLine="709"/>
        <w:jc w:val="right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Приложение</w:t>
      </w:r>
      <w:r>
        <w:rPr>
          <w:rFonts w:ascii="Times New Roman" w:hAnsi="Times New Roman"/>
          <w:szCs w:val="24"/>
          <w:lang w:val="ru-RU"/>
        </w:rPr>
      </w:r>
      <w:r>
        <w:rPr>
          <w:rFonts w:ascii="Times New Roman" w:hAnsi="Times New Roman"/>
          <w:szCs w:val="24"/>
          <w:lang w:val="ru-RU"/>
        </w:rPr>
      </w:r>
    </w:p>
    <w:p>
      <w:pPr>
        <w:pStyle w:val="845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к Т</w:t>
      </w:r>
      <w:r>
        <w:rPr>
          <w:rFonts w:ascii="Times New Roman" w:hAnsi="Times New Roman"/>
          <w:szCs w:val="24"/>
          <w:lang w:val="ru-RU"/>
        </w:rPr>
        <w:t xml:space="preserve">ехническому заданию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84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845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Опасные производственные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объекты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</w:r>
    </w:p>
    <w:p>
      <w:pPr>
        <w:pStyle w:val="845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АО «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Россети Сибирь Тываэнерго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»</w:t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</w:r>
      <w:r>
        <w:rPr>
          <w:rFonts w:ascii="Times New Roman" w:hAnsi="Times New Roman"/>
          <w:bCs/>
          <w:sz w:val="28"/>
          <w:szCs w:val="28"/>
          <w:lang w:val="ru-RU" w:eastAsia="ru-RU" w:bidi="ar-SA"/>
        </w:rPr>
      </w:r>
    </w:p>
    <w:p>
      <w:pPr>
        <w:pStyle w:val="83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763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36"/>
        <w:gridCol w:w="1471"/>
        <w:gridCol w:w="1471"/>
        <w:gridCol w:w="1739"/>
        <w:gridCol w:w="2675"/>
      </w:tblGrid>
      <w:tr>
        <w:tblPrEx/>
        <w:trPr>
          <w:trHeight w:val="1284"/>
        </w:trPr>
        <w:tc>
          <w:tcPr>
            <w:tcW w:w="536" w:type="dxa"/>
            <w:vAlign w:val="top"/>
            <w:textDirection w:val="lrTb"/>
            <w:noWrap w:val="false"/>
          </w:tcPr>
          <w:p>
            <w:pPr>
              <w:pStyle w:val="837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837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837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№</w:t>
            </w:r>
            <w:r>
              <w:rPr>
                <w:b/>
                <w:sz w:val="16"/>
                <w:highlight w:val="white"/>
              </w:rPr>
              <w:t xml:space="preserve"> п/н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</w:tc>
        <w:tc>
          <w:tcPr>
            <w:tcW w:w="1471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Полное наименование                     (в соответствии с реестром Ростехнадзора)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jc w:val="center"/>
              <w:widowControl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Фактический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837"/>
              <w:jc w:val="center"/>
              <w:widowControl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 адрес расположения 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837"/>
              <w:jc w:val="center"/>
              <w:widowControl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Объекта 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837"/>
              <w:jc w:val="center"/>
              <w:widowControl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(для прибытия сил и средств ПАСФ)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</w:tc>
        <w:tc>
          <w:tcPr>
            <w:tcW w:w="1739" w:type="dxa"/>
            <w:vAlign w:val="center"/>
            <w:textDirection w:val="lrTb"/>
            <w:noWrap w:val="false"/>
          </w:tcPr>
          <w:p>
            <w:pPr>
              <w:pStyle w:val="837"/>
              <w:ind w:right="-104" w:hanging="111"/>
              <w:jc w:val="center"/>
              <w:rPr>
                <w:b/>
                <w:sz w:val="16"/>
                <w:highlight w:val="white"/>
              </w:rPr>
            </w:pPr>
            <w:r>
              <w:rPr>
                <w:b/>
                <w:bCs/>
                <w:sz w:val="16"/>
                <w:highlight w:val="white"/>
              </w:rPr>
              <w:t xml:space="preserve">Регистрационный №  в Ростехнадзоре (при наличии), класс опасности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</w:tc>
        <w:tc>
          <w:tcPr>
            <w:tcW w:w="2675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Краткая характеристика 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837"/>
              <w:jc w:val="center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  <w:t xml:space="preserve">Объекта </w:t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  <w:p>
            <w:pPr>
              <w:pStyle w:val="837"/>
              <w:rPr>
                <w:b/>
                <w:sz w:val="16"/>
                <w:highlight w:val="white"/>
              </w:rPr>
            </w:pP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  <w:r>
              <w:rPr>
                <w:b/>
                <w:sz w:val="16"/>
                <w:highlight w:val="white"/>
              </w:rPr>
            </w:r>
          </w:p>
        </w:tc>
      </w:tr>
      <w:tr>
        <w:tblPrEx/>
        <w:trPr>
          <w:trHeight w:val="949"/>
        </w:trPr>
        <w:tc>
          <w:tcPr>
            <w:tcW w:w="536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Транспортный участок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В</w:t>
            </w:r>
            <w:r>
              <w:rPr>
                <w:sz w:val="22"/>
                <w:szCs w:val="22"/>
                <w:highlight w:val="white"/>
              </w:rPr>
              <w:t xml:space="preserve">РЭС, г. Шагонар </w:t>
              <w:tab/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г. Шагонар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739" w:type="dxa"/>
            <w:vAlign w:val="top"/>
            <w:textDirection w:val="lrTb"/>
            <w:noWrap w:val="false"/>
          </w:tcPr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А66-02675-0003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675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Автоподъемник – 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0,25 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009"/>
        </w:trPr>
        <w:tc>
          <w:tcPr>
            <w:tcW w:w="536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Транспортный участок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ВРЭС, с. Сарыг-Сеп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с. Сарыг-Сеп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739" w:type="dxa"/>
            <w:vAlign w:val="top"/>
            <w:textDirection w:val="lrTb"/>
            <w:noWrap w:val="false"/>
          </w:tcPr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А66-02675-0005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675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Автокран – 1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6,3т.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Автоподъемник – 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0,25 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636"/>
        </w:trPr>
        <w:tc>
          <w:tcPr>
            <w:tcW w:w="536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3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Транспортный участок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В</w:t>
            </w:r>
            <w:r>
              <w:rPr>
                <w:sz w:val="22"/>
                <w:szCs w:val="22"/>
                <w:highlight w:val="white"/>
              </w:rPr>
              <w:t xml:space="preserve">РЭС, г. Туран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г. Туран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739" w:type="dxa"/>
            <w:vAlign w:val="top"/>
            <w:textDirection w:val="lrTb"/>
            <w:noWrap w:val="false"/>
          </w:tcPr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А66-02675-0006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675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Автоподъемник – 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0,25 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917"/>
        </w:trPr>
        <w:tc>
          <w:tcPr>
            <w:tcW w:w="536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4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Транспортный участок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ЗРЭС, г. Ак-Довурак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г. Ак-Довурак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739" w:type="dxa"/>
            <w:vAlign w:val="top"/>
            <w:textDirection w:val="lrTb"/>
            <w:noWrap w:val="false"/>
          </w:tcPr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А66-02675-0009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675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Автовышка – 1 Грузоподъемность 0, 25т.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Автоподъемник – 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0,25 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029"/>
        </w:trPr>
        <w:tc>
          <w:tcPr>
            <w:tcW w:w="536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5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Участок механизации ЦРЭС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г. Кызыл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739" w:type="dxa"/>
            <w:vAlign w:val="top"/>
            <w:textDirection w:val="lrTb"/>
            <w:noWrap w:val="false"/>
          </w:tcPr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А66-02675-0013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675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Автокран – 4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16т., 25т.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Автоподъемник – 8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white"/>
              </w:rPr>
              <w:t xml:space="preserve">Грузоподъемность 0,25 т., 0,30т.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Кран манипулятор - 3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none"/>
              </w:rPr>
              <w:t xml:space="preserve">Грузоподъемность 7,0 т., 7,2 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  <w:tr>
        <w:tblPrEx/>
        <w:trPr>
          <w:trHeight w:val="1029"/>
        </w:trPr>
        <w:tc>
          <w:tcPr>
            <w:tcW w:w="536" w:type="dxa"/>
            <w:vAlign w:val="center"/>
            <w:textDirection w:val="lrTb"/>
            <w:noWrap w:val="false"/>
          </w:tcPr>
          <w:p>
            <w:pPr>
              <w:pStyle w:val="837"/>
              <w:jc w:val="center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6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Транспортный участок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ind w:right="-105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ЮРЭС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471" w:type="dxa"/>
            <w:vAlign w:val="top"/>
            <w:textDirection w:val="lrTb"/>
            <w:noWrap w:val="false"/>
          </w:tcPr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Республика Тыва,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с. Бай-Хаак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1739" w:type="dxa"/>
            <w:vAlign w:val="top"/>
            <w:textDirection w:val="lrTb"/>
            <w:noWrap w:val="false"/>
          </w:tcPr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А66-02675-0015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837"/>
              <w:widowControl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класс опасности IV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675" w:type="dxa"/>
            <w:vAlign w:val="top"/>
            <w:textDirection w:val="lrTb"/>
            <w:noWrap w:val="false"/>
          </w:tcPr>
          <w:p>
            <w:pPr>
              <w:pStyle w:val="837"/>
              <w:contextualSpacing w:val="0"/>
              <w:jc w:val="left"/>
              <w:spacing w:before="0" w:beforeAutospacing="1" w:after="0" w:afterAutospacing="1" w:line="240" w:lineRule="auto"/>
              <w:rPr>
                <w:sz w:val="22"/>
                <w:szCs w:val="22"/>
                <w:highlight w:val="none"/>
              </w:rPr>
              <w:suppressLineNumbers w:val="0"/>
            </w:pPr>
            <w:r>
              <w:rPr>
                <w:sz w:val="22"/>
                <w:szCs w:val="22"/>
                <w:highlight w:val="white"/>
              </w:rPr>
              <w:t xml:space="preserve">Ав</w:t>
            </w:r>
            <w:r>
              <w:rPr>
                <w:sz w:val="22"/>
                <w:szCs w:val="22"/>
                <w:highlight w:val="white"/>
              </w:rPr>
              <w:t xml:space="preserve">товышка – 1 </w:t>
            </w:r>
            <w:r>
              <w:rPr>
                <w:sz w:val="22"/>
                <w:szCs w:val="22"/>
                <w:highlight w:val="white"/>
              </w:rPr>
              <w:t xml:space="preserve">Грузоподъемность </w:t>
            </w:r>
            <w:r>
              <w:rPr>
                <w:sz w:val="22"/>
                <w:szCs w:val="22"/>
                <w:highlight w:val="white"/>
              </w:rPr>
              <w:t xml:space="preserve">0,</w:t>
            </w:r>
            <w:r>
              <w:rPr>
                <w:sz w:val="22"/>
                <w:szCs w:val="22"/>
                <w:highlight w:val="white"/>
              </w:rPr>
              <w:t xml:space="preserve">25т.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contextualSpacing/>
              <w:jc w:val="left"/>
              <w:spacing w:before="0" w:beforeAutospacing="1" w:after="0" w:afterAutospacing="1" w:line="240" w:lineRule="auto"/>
              <w:rPr>
                <w:sz w:val="22"/>
                <w:szCs w:val="22"/>
                <w:highlight w:val="none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  <w:t xml:space="preserve">Кран </w:t>
            </w:r>
            <w:r>
              <w:rPr>
                <w:sz w:val="22"/>
                <w:szCs w:val="22"/>
                <w:highlight w:val="none"/>
              </w:rPr>
              <w:t xml:space="preserve">манипулятор </w:t>
            </w:r>
            <w:r>
              <w:rPr>
                <w:sz w:val="22"/>
                <w:szCs w:val="22"/>
                <w:highlight w:val="none"/>
              </w:rPr>
              <w:t xml:space="preserve">- 1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contextualSpacing/>
              <w:jc w:val="left"/>
              <w:spacing w:before="0" w:beforeAutospacing="1" w:after="0" w:afterAutospacing="1" w:line="240" w:lineRule="auto"/>
              <w:rPr>
                <w:sz w:val="22"/>
                <w:szCs w:val="22"/>
                <w:highlight w:val="white"/>
              </w:rPr>
              <w:suppressLineNumbers w:val="0"/>
            </w:pPr>
            <w:r>
              <w:rPr>
                <w:sz w:val="22"/>
                <w:szCs w:val="22"/>
                <w:highlight w:val="none"/>
              </w:rPr>
              <w:t xml:space="preserve">Грузоподъемность 8,0 т.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284" w:right="850" w:bottom="709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Microsoft Sans Serif">
    <w:panose1 w:val="020B0506020203020204"/>
  </w:font>
  <w:font w:name="Cambria">
    <w:panose1 w:val="0204050305040603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3.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2.%2."/>
      <w:lvlJc w:val="left"/>
      <w:pPr>
        <w:ind w:left="1211" w:hanging="360"/>
        <w:tabs>
          <w:tab w:val="num" w:pos="1211" w:leader="none"/>
        </w:tabs>
      </w:pPr>
      <w:rPr>
        <w:rFonts w:hint="default"/>
      </w:rPr>
    </w:lvl>
    <w:lvl w:ilvl="2">
      <w:start w:val="3"/>
      <w:numFmt w:val="decimal"/>
      <w:isLgl w:val="false"/>
      <w:suff w:val="tab"/>
      <w:lvlText w:val="3.3.%3."/>
      <w:lvlJc w:val="left"/>
      <w:pPr>
        <w:ind w:left="4320" w:hanging="720"/>
        <w:tabs>
          <w:tab w:val="num" w:pos="43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6120" w:hanging="720"/>
        <w:tabs>
          <w:tab w:val="num" w:pos="61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8280" w:hanging="1080"/>
        <w:tabs>
          <w:tab w:val="num" w:pos="82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080" w:hanging="1080"/>
        <w:tabs>
          <w:tab w:val="num" w:pos="10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2240" w:hanging="1440"/>
        <w:tabs>
          <w:tab w:val="num" w:pos="122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040" w:hanging="1440"/>
        <w:tabs>
          <w:tab w:val="num" w:pos="140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6200" w:hanging="1800"/>
        <w:tabs>
          <w:tab w:val="num" w:pos="16200" w:leader="none"/>
        </w:tabs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Times New Roman" w:eastAsiaTheme="minorHAnsi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5">
    <w:name w:val="Heading 1"/>
    <w:basedOn w:val="837"/>
    <w:next w:val="837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6">
    <w:name w:val="Heading 1 Char"/>
    <w:basedOn w:val="839"/>
    <w:link w:val="665"/>
    <w:uiPriority w:val="9"/>
    <w:rPr>
      <w:rFonts w:ascii="Arial" w:hAnsi="Arial" w:eastAsia="Arial" w:cs="Arial"/>
      <w:sz w:val="40"/>
      <w:szCs w:val="40"/>
    </w:rPr>
  </w:style>
  <w:style w:type="character" w:styleId="667">
    <w:name w:val="Heading 2 Char"/>
    <w:basedOn w:val="839"/>
    <w:link w:val="838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39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39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39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39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3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7"/>
    <w:next w:val="837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39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7"/>
    <w:next w:val="837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39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82">
    <w:name w:val="Title Char"/>
    <w:basedOn w:val="839"/>
    <w:link w:val="846"/>
    <w:uiPriority w:val="10"/>
    <w:rPr>
      <w:sz w:val="48"/>
      <w:szCs w:val="48"/>
    </w:rPr>
  </w:style>
  <w:style w:type="paragraph" w:styleId="683">
    <w:name w:val="Subtitle"/>
    <w:basedOn w:val="837"/>
    <w:next w:val="837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basedOn w:val="839"/>
    <w:link w:val="683"/>
    <w:uiPriority w:val="11"/>
    <w:rPr>
      <w:sz w:val="24"/>
      <w:szCs w:val="24"/>
    </w:rPr>
  </w:style>
  <w:style w:type="paragraph" w:styleId="685">
    <w:name w:val="Quote"/>
    <w:basedOn w:val="837"/>
    <w:next w:val="837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7"/>
    <w:next w:val="837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837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basedOn w:val="839"/>
    <w:link w:val="689"/>
    <w:uiPriority w:val="99"/>
  </w:style>
  <w:style w:type="paragraph" w:styleId="691">
    <w:name w:val="Footer"/>
    <w:basedOn w:val="837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basedOn w:val="839"/>
    <w:link w:val="691"/>
    <w:uiPriority w:val="99"/>
  </w:style>
  <w:style w:type="paragraph" w:styleId="693">
    <w:name w:val="Caption"/>
    <w:basedOn w:val="837"/>
    <w:next w:val="8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691"/>
    <w:uiPriority w:val="99"/>
  </w:style>
  <w:style w:type="table" w:styleId="695">
    <w:name w:val="Table Grid Light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9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9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  <w:pPr>
      <w:jc w:val="left"/>
    </w:pPr>
    <w:rPr>
      <w:rFonts w:eastAsia="Times New Roman"/>
      <w:sz w:val="20"/>
      <w:szCs w:val="20"/>
      <w:lang w:eastAsia="ru-RU"/>
    </w:rPr>
  </w:style>
  <w:style w:type="paragraph" w:styleId="838">
    <w:name w:val="Heading 2"/>
    <w:basedOn w:val="837"/>
    <w:next w:val="837"/>
    <w:link w:val="842"/>
    <w:qFormat/>
    <w:pPr>
      <w:ind w:firstLine="709"/>
      <w:jc w:val="center"/>
      <w:keepNext/>
      <w:outlineLvl w:val="1"/>
    </w:pPr>
    <w:rPr>
      <w:sz w:val="24"/>
    </w:rPr>
  </w:style>
  <w:style w:type="character" w:styleId="839" w:default="1">
    <w:name w:val="Default Paragraph Font"/>
    <w:uiPriority w:val="1"/>
    <w:semiHidden/>
    <w:unhideWhenUsed/>
  </w:style>
  <w:style w:type="table" w:styleId="8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1" w:default="1">
    <w:name w:val="No List"/>
    <w:uiPriority w:val="99"/>
    <w:semiHidden/>
    <w:unhideWhenUsed/>
  </w:style>
  <w:style w:type="character" w:styleId="842" w:customStyle="1">
    <w:name w:val="Заголовок 2 Знак"/>
    <w:basedOn w:val="839"/>
    <w:link w:val="838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43">
    <w:name w:val="Hyperlink"/>
    <w:basedOn w:val="839"/>
    <w:rPr>
      <w:color w:val="0000ff"/>
      <w:u w:val="single"/>
    </w:rPr>
  </w:style>
  <w:style w:type="paragraph" w:styleId="844" w:customStyle="1">
    <w:name w:val="Noeeu14"/>
    <w:basedOn w:val="837"/>
    <w:pPr>
      <w:ind w:firstLine="720"/>
      <w:jc w:val="both"/>
      <w:spacing w:line="264" w:lineRule="auto"/>
    </w:pPr>
    <w:rPr>
      <w:sz w:val="28"/>
      <w:szCs w:val="28"/>
    </w:rPr>
  </w:style>
  <w:style w:type="paragraph" w:styleId="845">
    <w:name w:val="No Spacing"/>
    <w:basedOn w:val="837"/>
    <w:uiPriority w:val="1"/>
    <w:qFormat/>
    <w:rPr>
      <w:rFonts w:ascii="Calibri" w:hAnsi="Calibri"/>
      <w:sz w:val="24"/>
      <w:szCs w:val="32"/>
      <w:lang w:val="en-US" w:eastAsia="en-US" w:bidi="en-US"/>
    </w:rPr>
  </w:style>
  <w:style w:type="paragraph" w:styleId="846">
    <w:name w:val="Title"/>
    <w:basedOn w:val="837"/>
    <w:next w:val="837"/>
    <w:link w:val="847"/>
    <w:uiPriority w:val="10"/>
    <w:qFormat/>
    <w:pPr>
      <w:jc w:val="center"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 w:bidi="en-US"/>
    </w:rPr>
  </w:style>
  <w:style w:type="character" w:styleId="847" w:customStyle="1">
    <w:name w:val="Заголовок Знак"/>
    <w:basedOn w:val="839"/>
    <w:link w:val="846"/>
    <w:uiPriority w:val="10"/>
    <w:rPr>
      <w:rFonts w:ascii="Cambria" w:hAnsi="Cambria" w:eastAsia="Times New Roman" w:cs="Times New Roman"/>
      <w:b/>
      <w:bCs/>
      <w:sz w:val="32"/>
      <w:szCs w:val="32"/>
      <w:lang w:val="en-US" w:bidi="en-US"/>
    </w:rPr>
  </w:style>
  <w:style w:type="paragraph" w:styleId="848">
    <w:name w:val="List Paragraph"/>
    <w:basedOn w:val="837"/>
    <w:uiPriority w:val="34"/>
    <w:qFormat/>
    <w:pPr>
      <w:contextualSpacing/>
      <w:ind w:left="720"/>
    </w:pPr>
  </w:style>
  <w:style w:type="character" w:styleId="849" w:customStyle="1">
    <w:name w:val="Основной текст + Интервал 0 pt"/>
    <w:basedOn w:val="839"/>
    <w:rPr>
      <w:rFonts w:hint="default" w:ascii="Times New Roman" w:hAnsi="Times New Roman" w:eastAsia="Microsoft Sans Serif" w:cs="Times New Roman"/>
      <w:spacing w:val="10"/>
      <w:sz w:val="19"/>
      <w:szCs w:val="19"/>
      <w:shd w:val="clear" w:color="auto" w:fill="ffffff"/>
      <w:lang w:eastAsia="ru-RU"/>
    </w:rPr>
  </w:style>
  <w:style w:type="character" w:styleId="850" w:customStyle="1">
    <w:name w:val="Основной текст + 12"/>
    <w:basedOn w:val="839"/>
    <w:rPr>
      <w:rFonts w:hint="default" w:ascii="Times New Roman" w:hAnsi="Times New Roman" w:eastAsia="Microsoft Sans Serif" w:cs="Times New Roman"/>
      <w:b/>
      <w:bCs/>
      <w:sz w:val="25"/>
      <w:szCs w:val="25"/>
      <w:shd w:val="clear" w:color="auto" w:fill="ffffff"/>
      <w:lang w:eastAsia="ru-RU"/>
    </w:rPr>
  </w:style>
  <w:style w:type="table" w:styleId="851">
    <w:name w:val="Table Grid"/>
    <w:basedOn w:val="840"/>
    <w:uiPriority w:val="59"/>
    <w:rPr>
      <w:rFonts w:asciiTheme="minorHAnsi" w:hAnsiTheme="minorHAnsi" w:cstheme="minorBidi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52">
    <w:name w:val="Balloon Text"/>
    <w:basedOn w:val="837"/>
    <w:link w:val="85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3" w:customStyle="1">
    <w:name w:val="Текст выноски Знак"/>
    <w:basedOn w:val="839"/>
    <w:link w:val="85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1AA34-7240-42F4-8E2F-A1564503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ahmanaev-av</dc:creator>
  <cp:revision>63</cp:revision>
  <dcterms:created xsi:type="dcterms:W3CDTF">2017-11-01T06:15:00Z</dcterms:created>
  <dcterms:modified xsi:type="dcterms:W3CDTF">2026-02-20T02:31:08Z</dcterms:modified>
</cp:coreProperties>
</file>